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7A67DC2" w14:textId="77777777" w:rsidR="006C5A0C" w:rsidRDefault="006C5A0C" w:rsidP="00B96CAB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6C5A0C">
        <w:rPr>
          <w:rFonts w:ascii="Barlow" w:hAnsi="Barlow"/>
          <w:b/>
          <w:bCs/>
          <w:sz w:val="24"/>
          <w:szCs w:val="24"/>
          <w:lang w:val="pl-PL"/>
        </w:rPr>
        <w:t xml:space="preserve">Historia postępu w branży oponiarskiej - </w:t>
      </w:r>
      <w:proofErr w:type="spellStart"/>
      <w:r w:rsidRPr="006C5A0C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6C5A0C">
        <w:rPr>
          <w:rFonts w:ascii="Barlow" w:hAnsi="Barlow"/>
          <w:b/>
          <w:bCs/>
          <w:sz w:val="24"/>
          <w:szCs w:val="24"/>
          <w:lang w:val="pl-PL"/>
        </w:rPr>
        <w:t xml:space="preserve"> prezentuje serial dokumentalny z okazji 125-lecia firmy</w:t>
      </w:r>
    </w:p>
    <w:p w14:paraId="6A81A2B6" w14:textId="51E9CFB0" w:rsidR="006C5A0C" w:rsidRPr="006C5A0C" w:rsidRDefault="00E044EB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6C5A0C">
        <w:rPr>
          <w:rFonts w:ascii="Barlow" w:hAnsi="Barlow"/>
          <w:sz w:val="22"/>
          <w:szCs w:val="22"/>
          <w:lang w:val="pl-PL"/>
        </w:rPr>
        <w:t>28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B96CAB">
        <w:rPr>
          <w:rFonts w:ascii="Barlow" w:hAnsi="Barlow"/>
          <w:sz w:val="22"/>
          <w:szCs w:val="22"/>
          <w:lang w:val="pl-PL"/>
        </w:rPr>
        <w:t>sierpnia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485A62">
        <w:rPr>
          <w:rFonts w:ascii="Barlow" w:hAnsi="Barlow"/>
          <w:sz w:val="22"/>
          <w:szCs w:val="22"/>
          <w:lang w:val="pl-PL"/>
        </w:rPr>
        <w:t xml:space="preserve"> </w:t>
      </w:r>
      <w:r w:rsidR="006C5A0C" w:rsidRPr="006C5A0C">
        <w:rPr>
          <w:rFonts w:ascii="Barlow" w:hAnsi="Barlow"/>
          <w:sz w:val="22"/>
          <w:szCs w:val="22"/>
          <w:lang w:val="pl-PL"/>
        </w:rPr>
        <w:t xml:space="preserve">Z okazji 125. </w:t>
      </w:r>
      <w:r w:rsidR="007A218A">
        <w:rPr>
          <w:rFonts w:ascii="Barlow" w:hAnsi="Barlow"/>
          <w:sz w:val="22"/>
          <w:szCs w:val="22"/>
          <w:lang w:val="pl-PL"/>
        </w:rPr>
        <w:t>u</w:t>
      </w:r>
      <w:r w:rsidR="006C5A0C" w:rsidRPr="006C5A0C">
        <w:rPr>
          <w:rFonts w:ascii="Barlow" w:hAnsi="Barlow"/>
          <w:sz w:val="22"/>
          <w:szCs w:val="22"/>
          <w:lang w:val="pl-PL"/>
        </w:rPr>
        <w:t>rodzin G</w:t>
      </w:r>
      <w:proofErr w:type="spellStart"/>
      <w:r w:rsidR="006C5A0C" w:rsidRPr="006C5A0C">
        <w:rPr>
          <w:rFonts w:ascii="Barlow" w:hAnsi="Barlow"/>
          <w:sz w:val="22"/>
          <w:szCs w:val="22"/>
          <w:lang w:val="pl-PL"/>
        </w:rPr>
        <w:t>oodyear</w:t>
      </w:r>
      <w:proofErr w:type="spellEnd"/>
      <w:r w:rsidR="006C5A0C" w:rsidRPr="006C5A0C">
        <w:rPr>
          <w:rFonts w:ascii="Barlow" w:hAnsi="Barlow"/>
          <w:sz w:val="22"/>
          <w:szCs w:val="22"/>
          <w:lang w:val="pl-PL"/>
        </w:rPr>
        <w:t xml:space="preserve"> zaprezentował 7-odcinkowy serial dokumentalny „</w:t>
      </w:r>
      <w:proofErr w:type="spellStart"/>
      <w:r w:rsidR="006C5A0C"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6C5A0C" w:rsidRPr="006C5A0C">
        <w:rPr>
          <w:rFonts w:ascii="Barlow" w:hAnsi="Barlow"/>
          <w:sz w:val="22"/>
          <w:szCs w:val="22"/>
          <w:lang w:val="pl-PL"/>
        </w:rPr>
        <w:t xml:space="preserve">: 125 </w:t>
      </w:r>
      <w:proofErr w:type="spellStart"/>
      <w:r w:rsidR="006C5A0C" w:rsidRPr="006C5A0C">
        <w:rPr>
          <w:rFonts w:ascii="Barlow" w:hAnsi="Barlow"/>
          <w:sz w:val="22"/>
          <w:szCs w:val="22"/>
          <w:lang w:val="pl-PL"/>
        </w:rPr>
        <w:t>Years</w:t>
      </w:r>
      <w:proofErr w:type="spellEnd"/>
      <w:r w:rsidR="006C5A0C" w:rsidRPr="006C5A0C">
        <w:rPr>
          <w:rFonts w:ascii="Barlow" w:hAnsi="Barlow"/>
          <w:sz w:val="22"/>
          <w:szCs w:val="22"/>
          <w:lang w:val="pl-PL"/>
        </w:rPr>
        <w:t xml:space="preserve"> in Motion”, który opisuje historię i osiągnięcia producenta poprzez unikalne archiwalne zdjęcia i wspomnienia ludzi, którzy na przestrzeni lat byli związani z marką i brali udział w przesuwaniu granic technologii, nie tylko oponiarskich. Serial można obejrzeć na kanale </w:t>
      </w:r>
      <w:hyperlink r:id="rId11" w:history="1">
        <w:r w:rsidR="006C5A0C" w:rsidRPr="006C5A0C">
          <w:rPr>
            <w:rStyle w:val="Hipercze"/>
            <w:rFonts w:ascii="Barlow" w:hAnsi="Barlow" w:cs="Arial"/>
            <w:sz w:val="22"/>
            <w:szCs w:val="22"/>
            <w:lang w:val="pl-PL"/>
          </w:rPr>
          <w:t>YouTube marki</w:t>
        </w:r>
      </w:hyperlink>
      <w:r w:rsidR="006C5A0C" w:rsidRPr="006C5A0C">
        <w:rPr>
          <w:rFonts w:ascii="Barlow" w:hAnsi="Barlow"/>
          <w:sz w:val="22"/>
          <w:szCs w:val="22"/>
          <w:lang w:val="pl-PL"/>
        </w:rPr>
        <w:t>.</w:t>
      </w:r>
    </w:p>
    <w:p w14:paraId="0A4C08DF" w14:textId="6D00E008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 xml:space="preserve">Opony „inteligentne”, opony z materiałów odnawialnych, kuliste i te do pojazdów kosmicznych – to tylko niektóre z innowacyjnych rozwiązań stworzonych przez firmę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w ciągu 125 lat istnienia. Lista wynalazków amerykańskiego producenta wykracza daleko poza same opony - dorobek firmy to także sterowce, w tym ikoniczny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Blimp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do dziś widoczny na niebie w</w:t>
      </w:r>
      <w:r>
        <w:rPr>
          <w:rFonts w:ascii="Barlow" w:hAnsi="Barlow"/>
          <w:sz w:val="22"/>
          <w:szCs w:val="22"/>
          <w:lang w:val="pl-PL"/>
        </w:rPr>
        <w:t> </w:t>
      </w:r>
      <w:r w:rsidRPr="006C5A0C">
        <w:rPr>
          <w:rFonts w:ascii="Barlow" w:hAnsi="Barlow"/>
          <w:sz w:val="22"/>
          <w:szCs w:val="22"/>
          <w:lang w:val="pl-PL"/>
        </w:rPr>
        <w:t xml:space="preserve">różnych częściach świata, samoloty budowane na potrzeby amerykańskiej armii, pierwszy komercyjny ruchomy chodnik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Memory Belt, czyli pas transmisyjny do sortowania paczek, a nawet sztuczne serce. </w:t>
      </w:r>
    </w:p>
    <w:p w14:paraId="21FD03F1" w14:textId="559F7C8E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 xml:space="preserve">Serial opisuje firmę – jej dorobek, ludzi i produkty – z wielu różnych perspektyw pokazując wszechstronność i nowatorski gen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, który ma na swoim koncie także liczne sukcesy w sportach motorowych na najważniejszych torach świata, światowe rekordy prędkości i niewątpliwy wkład w rozwój motoryzacji. </w:t>
      </w:r>
    </w:p>
    <w:p w14:paraId="028CFF7C" w14:textId="77777777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>Każdy z kilkuminutowych odcinków serialu poświęcony jest innemu zagadnieniu:</w:t>
      </w:r>
    </w:p>
    <w:p w14:paraId="7631DDBC" w14:textId="066793F9" w:rsidR="006C5A0C" w:rsidRPr="006C5A0C" w:rsidRDefault="006C5A0C" w:rsidP="006C5A0C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>„</w:t>
      </w:r>
      <w:r w:rsidRPr="006C5A0C">
        <w:rPr>
          <w:rFonts w:ascii="Barlow" w:hAnsi="Barlow"/>
          <w:b/>
          <w:bCs/>
          <w:i/>
          <w:iCs/>
          <w:sz w:val="22"/>
          <w:szCs w:val="22"/>
          <w:lang w:val="pl-PL"/>
        </w:rPr>
        <w:t>Uruchom silniki: początek</w:t>
      </w:r>
      <w:r w:rsidRPr="006C5A0C">
        <w:rPr>
          <w:rFonts w:ascii="Barlow" w:hAnsi="Barlow"/>
          <w:sz w:val="22"/>
          <w:szCs w:val="22"/>
          <w:lang w:val="pl-PL"/>
        </w:rPr>
        <w:t xml:space="preserve">” Pierwszy odcinek sięga do najodleglejszej przeszłości i przedstawia amerykańskiego przemysłowca Franka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Seiberlinga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, który 29 sierpnia 1898 roku założył firmę w Akron w stanie Ohio i na cześć wynalazcy Charlesa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Goodyear’a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nazywał ją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Tire and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Rubber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Company. Da</w:t>
      </w:r>
      <w:r>
        <w:rPr>
          <w:rFonts w:ascii="Barlow" w:hAnsi="Barlow"/>
          <w:sz w:val="22"/>
          <w:szCs w:val="22"/>
          <w:lang w:val="pl-PL"/>
        </w:rPr>
        <w:t>ł</w:t>
      </w:r>
      <w:r w:rsidRPr="006C5A0C">
        <w:rPr>
          <w:rFonts w:ascii="Barlow" w:hAnsi="Barlow"/>
          <w:sz w:val="22"/>
          <w:szCs w:val="22"/>
          <w:lang w:val="pl-PL"/>
        </w:rPr>
        <w:t xml:space="preserve"> wtedy początek przedsiębiorstwu, które niedługo potem, bo w 1916 roku, stało się największym na świecie producentem ogumienia, a dziś jest w ścisłej światowej czołówce mając na koncie prawie 10 miliardów wyprodukowanych opon.</w:t>
      </w:r>
    </w:p>
    <w:p w14:paraId="72145D26" w14:textId="22209E4E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>2.</w:t>
      </w:r>
      <w:r w:rsidRPr="006C5A0C">
        <w:rPr>
          <w:rFonts w:ascii="Barlow" w:hAnsi="Barlow"/>
          <w:sz w:val="22"/>
          <w:szCs w:val="22"/>
          <w:lang w:val="pl-PL"/>
        </w:rPr>
        <w:tab/>
        <w:t xml:space="preserve"> „</w:t>
      </w:r>
      <w:r w:rsidRPr="006C5A0C">
        <w:rPr>
          <w:rFonts w:ascii="Barlow" w:hAnsi="Barlow"/>
          <w:b/>
          <w:bCs/>
          <w:i/>
          <w:iCs/>
          <w:sz w:val="22"/>
          <w:szCs w:val="22"/>
          <w:lang w:val="pl-PL"/>
        </w:rPr>
        <w:t>Na właściwym torze: marki, ikony i wyścigi</w:t>
      </w:r>
      <w:r w:rsidRPr="006C5A0C">
        <w:rPr>
          <w:rFonts w:ascii="Barlow" w:hAnsi="Barlow"/>
          <w:sz w:val="22"/>
          <w:szCs w:val="22"/>
          <w:lang w:val="pl-PL"/>
        </w:rPr>
        <w:t xml:space="preserve">”. Drugi odcinek prezentuje historię kultowych symboli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, takich jak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Wingfoot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Express,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Clock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Tower i słynny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Blimp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>. To także opowieść o</w:t>
      </w:r>
      <w:r>
        <w:rPr>
          <w:rFonts w:ascii="Barlow" w:hAnsi="Barlow"/>
          <w:sz w:val="22"/>
          <w:szCs w:val="22"/>
          <w:lang w:val="pl-PL"/>
        </w:rPr>
        <w:t> </w:t>
      </w:r>
      <w:r w:rsidRPr="006C5A0C">
        <w:rPr>
          <w:rFonts w:ascii="Barlow" w:hAnsi="Barlow"/>
          <w:sz w:val="22"/>
          <w:szCs w:val="22"/>
          <w:lang w:val="pl-PL"/>
        </w:rPr>
        <w:t xml:space="preserve">zaangażowaniu marki w świat wyścigów samochodowych, które zaczęło się od prośby złożonej przez Henry'ego Forda. </w:t>
      </w:r>
    </w:p>
    <w:p w14:paraId="12466249" w14:textId="23AA217B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>3.</w:t>
      </w:r>
      <w:r w:rsidRPr="006C5A0C">
        <w:rPr>
          <w:rFonts w:ascii="Barlow" w:hAnsi="Barlow"/>
          <w:sz w:val="22"/>
          <w:szCs w:val="22"/>
          <w:lang w:val="pl-PL"/>
        </w:rPr>
        <w:tab/>
        <w:t>„</w:t>
      </w:r>
      <w:r w:rsidRPr="006C5A0C">
        <w:rPr>
          <w:rFonts w:ascii="Barlow" w:hAnsi="Barlow"/>
          <w:b/>
          <w:bCs/>
          <w:i/>
          <w:iCs/>
          <w:sz w:val="22"/>
          <w:szCs w:val="22"/>
          <w:lang w:val="pl-PL"/>
        </w:rPr>
        <w:t>Malownicza trasa: więcej niż opony</w:t>
      </w:r>
      <w:r w:rsidRPr="006C5A0C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>.</w:t>
      </w:r>
      <w:r w:rsidRPr="006C5A0C">
        <w:rPr>
          <w:rFonts w:ascii="Barlow" w:hAnsi="Barlow"/>
          <w:sz w:val="22"/>
          <w:szCs w:val="22"/>
          <w:lang w:val="pl-PL"/>
        </w:rPr>
        <w:t xml:space="preserve"> Trzecia część odsłania kulisy innowacyjności marki i pokazuje wszechstronność i rozległość działań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wykraczających poza produkcję samych opon - od hamulców dla </w:t>
      </w:r>
      <w:r w:rsidRPr="006C5A0C">
        <w:rPr>
          <w:rFonts w:ascii="Barlow" w:hAnsi="Barlow"/>
          <w:sz w:val="22"/>
          <w:szCs w:val="22"/>
          <w:lang w:val="pl-PL"/>
        </w:rPr>
        <w:lastRenderedPageBreak/>
        <w:t>samolotów i silników rakietowych, przez kuloodporne zbiorniki paliw po systemy naprowadzania i satelity, a nawet protezy kończyn.</w:t>
      </w:r>
    </w:p>
    <w:p w14:paraId="31353827" w14:textId="3F7AB1E6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>4.</w:t>
      </w:r>
      <w:r w:rsidRPr="006C5A0C">
        <w:rPr>
          <w:rFonts w:ascii="Barlow" w:hAnsi="Barlow"/>
          <w:sz w:val="22"/>
          <w:szCs w:val="22"/>
          <w:lang w:val="pl-PL"/>
        </w:rPr>
        <w:tab/>
        <w:t>„</w:t>
      </w:r>
      <w:r w:rsidRPr="006C5A0C">
        <w:rPr>
          <w:rFonts w:ascii="Barlow" w:hAnsi="Barlow"/>
          <w:b/>
          <w:bCs/>
          <w:i/>
          <w:iCs/>
          <w:sz w:val="22"/>
          <w:szCs w:val="22"/>
          <w:lang w:val="pl-PL"/>
        </w:rPr>
        <w:t>Z myślą o przyszłości: innowacje</w:t>
      </w:r>
      <w:r w:rsidRPr="006C5A0C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>.</w:t>
      </w:r>
      <w:r w:rsidRPr="006C5A0C">
        <w:rPr>
          <w:rFonts w:ascii="Barlow" w:hAnsi="Barlow"/>
          <w:sz w:val="22"/>
          <w:szCs w:val="22"/>
          <w:lang w:val="pl-PL"/>
        </w:rPr>
        <w:t xml:space="preserve"> Od przełomowych wzorów bieżnika opon po postępy w lotnictwie i</w:t>
      </w:r>
      <w:r>
        <w:rPr>
          <w:rFonts w:ascii="Barlow" w:hAnsi="Barlow"/>
          <w:sz w:val="22"/>
          <w:szCs w:val="22"/>
          <w:lang w:val="pl-PL"/>
        </w:rPr>
        <w:t> </w:t>
      </w:r>
      <w:r w:rsidRPr="006C5A0C">
        <w:rPr>
          <w:rFonts w:ascii="Barlow" w:hAnsi="Barlow"/>
          <w:sz w:val="22"/>
          <w:szCs w:val="22"/>
          <w:lang w:val="pl-PL"/>
        </w:rPr>
        <w:t xml:space="preserve">kosmonautyce - ten odcinek pokazuje jak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przesuwa granice projektowania, osiągów i zrównoważonego rozwoju opon.</w:t>
      </w:r>
    </w:p>
    <w:p w14:paraId="61B7FB65" w14:textId="61079241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>5.</w:t>
      </w:r>
      <w:r w:rsidRPr="006C5A0C">
        <w:rPr>
          <w:rFonts w:ascii="Barlow" w:hAnsi="Barlow"/>
          <w:sz w:val="22"/>
          <w:szCs w:val="22"/>
          <w:lang w:val="pl-PL"/>
        </w:rPr>
        <w:tab/>
        <w:t>„</w:t>
      </w:r>
      <w:r w:rsidRPr="006C5A0C">
        <w:rPr>
          <w:rFonts w:ascii="Barlow" w:hAnsi="Barlow"/>
          <w:b/>
          <w:bCs/>
          <w:i/>
          <w:iCs/>
          <w:sz w:val="22"/>
          <w:szCs w:val="22"/>
          <w:lang w:val="pl-PL"/>
        </w:rPr>
        <w:t>Pasażerowie na pokładzie: nasi ludzie</w:t>
      </w:r>
      <w:r w:rsidRPr="006C5A0C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>.</w:t>
      </w:r>
      <w:r w:rsidRPr="006C5A0C">
        <w:rPr>
          <w:rFonts w:ascii="Barlow" w:hAnsi="Barlow"/>
          <w:sz w:val="22"/>
          <w:szCs w:val="22"/>
          <w:lang w:val="pl-PL"/>
        </w:rPr>
        <w:t xml:space="preserve"> To część serialu, gdzie marka oddaje hołd swoim pracownikom - od liderów-wizjonerów po oddane zespoły i całe pokolenia rodzin pracujących w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>.</w:t>
      </w:r>
    </w:p>
    <w:p w14:paraId="6A34399D" w14:textId="1FE9AE3A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>6.</w:t>
      </w:r>
      <w:r w:rsidRPr="006C5A0C">
        <w:rPr>
          <w:rFonts w:ascii="Barlow" w:hAnsi="Barlow"/>
          <w:sz w:val="22"/>
          <w:szCs w:val="22"/>
          <w:lang w:val="pl-PL"/>
        </w:rPr>
        <w:tab/>
        <w:t>„</w:t>
      </w:r>
      <w:r w:rsidRPr="006C5A0C">
        <w:rPr>
          <w:rFonts w:ascii="Barlow" w:hAnsi="Barlow"/>
          <w:b/>
          <w:bCs/>
          <w:i/>
          <w:iCs/>
          <w:sz w:val="22"/>
          <w:szCs w:val="22"/>
          <w:lang w:val="pl-PL"/>
        </w:rPr>
        <w:t>Idziemy razem: nasi klienci</w:t>
      </w:r>
      <w:r w:rsidRPr="006C5A0C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>.</w:t>
      </w:r>
      <w:r w:rsidRPr="006C5A0C">
        <w:rPr>
          <w:rFonts w:ascii="Barlow" w:hAnsi="Barlow"/>
          <w:sz w:val="22"/>
          <w:szCs w:val="22"/>
          <w:lang w:val="pl-PL"/>
        </w:rPr>
        <w:t xml:space="preserve"> W tym odcinku poznajemy klientów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rozlokowanych na całym świecie, którzy dzielą się refleksjami </w:t>
      </w:r>
      <w:r>
        <w:rPr>
          <w:rFonts w:ascii="Barlow" w:hAnsi="Barlow"/>
          <w:sz w:val="22"/>
          <w:szCs w:val="22"/>
          <w:lang w:val="pl-PL"/>
        </w:rPr>
        <w:t>dotyczącymi</w:t>
      </w:r>
      <w:r w:rsidRPr="006C5A0C">
        <w:rPr>
          <w:rFonts w:ascii="Barlow" w:hAnsi="Barlow"/>
          <w:sz w:val="22"/>
          <w:szCs w:val="22"/>
          <w:lang w:val="pl-PL"/>
        </w:rPr>
        <w:t xml:space="preserve"> zwykle wieloletniej współpracy z marką i doświadczeniami na temat produktów i świadczonej obsługi. </w:t>
      </w:r>
    </w:p>
    <w:p w14:paraId="5B1BE619" w14:textId="52471C1B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>7.</w:t>
      </w:r>
      <w:r w:rsidRPr="006C5A0C">
        <w:rPr>
          <w:rFonts w:ascii="Barlow" w:hAnsi="Barlow"/>
          <w:sz w:val="22"/>
          <w:szCs w:val="22"/>
          <w:lang w:val="pl-PL"/>
        </w:rPr>
        <w:tab/>
        <w:t>„</w:t>
      </w:r>
      <w:r w:rsidRPr="006C5A0C">
        <w:rPr>
          <w:rFonts w:ascii="Barlow" w:hAnsi="Barlow"/>
          <w:b/>
          <w:bCs/>
          <w:i/>
          <w:iCs/>
          <w:sz w:val="22"/>
          <w:szCs w:val="22"/>
          <w:lang w:val="pl-PL"/>
        </w:rPr>
        <w:t>Na szybkim pasie: następne 125 lat</w:t>
      </w:r>
      <w:r w:rsidRPr="006C5A0C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>.</w:t>
      </w:r>
      <w:r w:rsidRPr="006C5A0C">
        <w:rPr>
          <w:rFonts w:ascii="Barlow" w:hAnsi="Barlow"/>
          <w:sz w:val="22"/>
          <w:szCs w:val="22"/>
          <w:lang w:val="pl-PL"/>
        </w:rPr>
        <w:t xml:space="preserve"> Ostatnia część serialu to okazja do rozmowy o  przyszłości - eksperci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prognozują przyszłość firmy, branży i szeroko pojętej mobilności. Opony bezpowietrzne, opony ze zrównoważonych materiałów, kuliste do pojazdów autonomicznych i coraz nowocześniejsze opony do aut elektrycznych – zmiany w branży motoryzacyjnej niosą nieustannie nowe wyzwania.</w:t>
      </w:r>
    </w:p>
    <w:p w14:paraId="58573B73" w14:textId="77777777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6C5A0C">
        <w:rPr>
          <w:rFonts w:ascii="Barlow" w:hAnsi="Barlow"/>
          <w:b/>
          <w:bCs/>
          <w:sz w:val="22"/>
          <w:szCs w:val="22"/>
          <w:lang w:val="pl-PL"/>
        </w:rPr>
        <w:t xml:space="preserve">Innowacje w DNA </w:t>
      </w:r>
      <w:proofErr w:type="spellStart"/>
      <w:r w:rsidRPr="006C5A0C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</w:p>
    <w:p w14:paraId="259099F9" w14:textId="77777777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ma obecnie 57 zakładów produkcyjnych w 23 krajach i zatrudnia 74 000 pracowników na całym świecie. Jest też inwestorem strategicznym w Firmie Oponiarskiej w Dębicy – ta fabryka opon jest trzecim największym zakładem producenta w Europie. </w:t>
      </w:r>
    </w:p>
    <w:p w14:paraId="376FAE37" w14:textId="77777777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 xml:space="preserve">Za rozwój najnowocześniejszych produktów odpowiadają dwa ośrodki innowacji – w Akron w stanie Ohio i Colmar-Berg w Luksemburgu. To tam powstają dobrze znane klientom flagowe opony m.in. z linii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F1,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Vector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4Seasons czy też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UltraGrip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, ale także opony koncepcyjne, których na drogach jeszcze nie ma, jak opony porośnięte mchem czy opony bezpowietrzne. </w:t>
      </w:r>
    </w:p>
    <w:p w14:paraId="527B35C4" w14:textId="49990544" w:rsidR="006C5A0C" w:rsidRPr="006C5A0C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 xml:space="preserve">Produkty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są cenione przez profesjonalnych testerów i klientów za jakość i niezawodność – te atuty są wypracowywane podczas licznych testów na torach i w ośrodkach badawczych zlokalizowanych w różnych częściach świata. Marka posiada własne laboratorium do badania śniegu w Luksemburgu, w którym symulowane s</w:t>
      </w:r>
      <w:r>
        <w:rPr>
          <w:rFonts w:ascii="Barlow" w:hAnsi="Barlow"/>
          <w:sz w:val="22"/>
          <w:szCs w:val="22"/>
          <w:lang w:val="pl-PL"/>
        </w:rPr>
        <w:t xml:space="preserve">ą </w:t>
      </w:r>
      <w:r w:rsidRPr="006C5A0C">
        <w:rPr>
          <w:rFonts w:ascii="Barlow" w:hAnsi="Barlow"/>
          <w:sz w:val="22"/>
          <w:szCs w:val="22"/>
          <w:lang w:val="pl-PL"/>
        </w:rPr>
        <w:t xml:space="preserve">zróżnicowane warunki drogowe, co pomaga tworzyć niezawodne opony zimowe. </w:t>
      </w:r>
    </w:p>
    <w:p w14:paraId="356E91EE" w14:textId="3EEA4CEE" w:rsidR="00B96CAB" w:rsidRDefault="006C5A0C" w:rsidP="006C5A0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6C5A0C">
        <w:rPr>
          <w:rFonts w:ascii="Barlow" w:hAnsi="Barlow"/>
          <w:sz w:val="22"/>
          <w:szCs w:val="22"/>
          <w:lang w:val="pl-PL"/>
        </w:rPr>
        <w:t>Projektowanie, opracowywanie</w:t>
      </w:r>
      <w:r>
        <w:rPr>
          <w:rFonts w:ascii="Barlow" w:hAnsi="Barlow"/>
          <w:sz w:val="22"/>
          <w:szCs w:val="22"/>
          <w:lang w:val="pl-PL"/>
        </w:rPr>
        <w:t xml:space="preserve">, </w:t>
      </w:r>
      <w:r w:rsidRPr="006C5A0C">
        <w:rPr>
          <w:rFonts w:ascii="Barlow" w:hAnsi="Barlow"/>
          <w:sz w:val="22"/>
          <w:szCs w:val="22"/>
          <w:lang w:val="pl-PL"/>
        </w:rPr>
        <w:t xml:space="preserve">dostarczanie opon i usług spełniających wszystkie potrzeby związane z jazdą są siłą napędową innowacji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. Poza ustanawianiem rekordów w kosmosie i na ziemi, oponiarskie innowacje </w:t>
      </w:r>
      <w:proofErr w:type="spellStart"/>
      <w:r w:rsidRPr="006C5A0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C5A0C">
        <w:rPr>
          <w:rFonts w:ascii="Barlow" w:hAnsi="Barlow"/>
          <w:sz w:val="22"/>
          <w:szCs w:val="22"/>
          <w:lang w:val="pl-PL"/>
        </w:rPr>
        <w:t xml:space="preserve"> przyczyniły się do znacznych postępów w rolnictwie, lotnictwie, przemyśle budowalnym, wydobywczym, transporcie, czy dostawach ostatniej mili. </w:t>
      </w:r>
    </w:p>
    <w:p w14:paraId="56746CDE" w14:textId="77777777" w:rsidR="00645AB1" w:rsidRPr="002A7C91" w:rsidRDefault="00645AB1" w:rsidP="006C5A0C">
      <w:pPr>
        <w:shd w:val="clear" w:color="auto" w:fill="FFFFFF"/>
        <w:spacing w:before="180" w:after="180" w:line="240" w:lineRule="auto"/>
        <w:rPr>
          <w:rFonts w:ascii="Barlow" w:hAnsi="Barlow"/>
          <w:lang w:val="pl-PL"/>
        </w:rPr>
      </w:pPr>
    </w:p>
    <w:p w14:paraId="4D7A462F" w14:textId="243FAA7E" w:rsidR="00BA36EB" w:rsidRPr="00B96CAB" w:rsidRDefault="00BA36EB" w:rsidP="00B96CAB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/>
          <w:lang w:val="pl-PL"/>
        </w:rPr>
      </w:pPr>
      <w:proofErr w:type="spellStart"/>
      <w:r w:rsidRPr="00B96CAB">
        <w:rPr>
          <w:rFonts w:ascii="Barlow" w:hAnsi="Barlow"/>
          <w:b/>
          <w:bCs/>
          <w:lang w:val="pl-PL"/>
        </w:rPr>
        <w:t>Goodyear</w:t>
      </w:r>
      <w:proofErr w:type="spellEnd"/>
    </w:p>
    <w:p w14:paraId="66E34ECA" w14:textId="24D684A9" w:rsidR="00BA36EB" w:rsidRPr="00376DC0" w:rsidRDefault="00BA36EB" w:rsidP="00D05E13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376DC0">
        <w:rPr>
          <w:rFonts w:ascii="Barlow" w:hAnsi="Barlow"/>
          <w:lang w:val="pl-PL"/>
        </w:rPr>
        <w:t>Goodyear</w:t>
      </w:r>
      <w:proofErr w:type="spellEnd"/>
      <w:r w:rsidRPr="00376DC0">
        <w:rPr>
          <w:rFonts w:ascii="Barlow" w:hAnsi="Barlow"/>
          <w:lang w:val="pl-PL"/>
        </w:rPr>
        <w:t xml:space="preserve">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Akron w stanie Ohio i w Colmar-Berg w Luksemburgu dążą do opracowywania najnowocześniejszych produktów i usług, które wyznaczają standardy technologiczne i eksploatacyjne dla całej branży. Więcej informacji o firmie </w:t>
      </w:r>
      <w:proofErr w:type="spellStart"/>
      <w:r w:rsidRPr="00376DC0">
        <w:rPr>
          <w:rFonts w:ascii="Barlow" w:hAnsi="Barlow"/>
          <w:lang w:val="pl-PL"/>
        </w:rPr>
        <w:t>Goodyear</w:t>
      </w:r>
      <w:proofErr w:type="spellEnd"/>
      <w:r w:rsidRPr="00376DC0">
        <w:rPr>
          <w:rFonts w:ascii="Barlow" w:hAnsi="Barlow"/>
          <w:lang w:val="pl-PL"/>
        </w:rPr>
        <w:t xml:space="preserve">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hyperlink r:id="rId18" w:history="1">
        <w:r w:rsidR="00515D85" w:rsidRPr="00376DC0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8262E7">
        <w:rPr>
          <w:rStyle w:val="Hipercze"/>
          <w:rFonts w:ascii="Barlow" w:hAnsi="Barlow" w:cs="Arial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EBA8" w14:textId="77777777" w:rsidR="00FC40FA" w:rsidRDefault="00FC40FA">
      <w:pPr>
        <w:spacing w:after="0" w:line="240" w:lineRule="auto"/>
      </w:pPr>
      <w:r>
        <w:separator/>
      </w:r>
    </w:p>
    <w:p w14:paraId="550D52FD" w14:textId="77777777" w:rsidR="00FC40FA" w:rsidRDefault="00FC40FA"/>
  </w:endnote>
  <w:endnote w:type="continuationSeparator" w:id="0">
    <w:p w14:paraId="509FEF84" w14:textId="77777777" w:rsidR="00FC40FA" w:rsidRDefault="00FC40FA">
      <w:pPr>
        <w:spacing w:after="0" w:line="240" w:lineRule="auto"/>
      </w:pPr>
      <w:r>
        <w:continuationSeparator/>
      </w:r>
    </w:p>
    <w:p w14:paraId="22B47DEF" w14:textId="77777777" w:rsidR="00FC40FA" w:rsidRDefault="00FC40FA"/>
  </w:endnote>
  <w:endnote w:type="continuationNotice" w:id="1">
    <w:p w14:paraId="77C195EB" w14:textId="77777777" w:rsidR="00FC40FA" w:rsidRDefault="00FC4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B023" w14:textId="77777777" w:rsidR="00FC40FA" w:rsidRDefault="00FC40FA">
      <w:pPr>
        <w:spacing w:after="0" w:line="240" w:lineRule="auto"/>
      </w:pPr>
      <w:r>
        <w:separator/>
      </w:r>
    </w:p>
    <w:p w14:paraId="1ADFDD19" w14:textId="77777777" w:rsidR="00FC40FA" w:rsidRDefault="00FC40FA"/>
  </w:footnote>
  <w:footnote w:type="continuationSeparator" w:id="0">
    <w:p w14:paraId="267631C9" w14:textId="77777777" w:rsidR="00FC40FA" w:rsidRDefault="00FC40FA">
      <w:pPr>
        <w:spacing w:after="0" w:line="240" w:lineRule="auto"/>
      </w:pPr>
      <w:r>
        <w:continuationSeparator/>
      </w:r>
    </w:p>
    <w:p w14:paraId="1F60A0C5" w14:textId="77777777" w:rsidR="00FC40FA" w:rsidRDefault="00FC40FA"/>
  </w:footnote>
  <w:footnote w:type="continuationNotice" w:id="1">
    <w:p w14:paraId="1BE092BC" w14:textId="77777777" w:rsidR="00FC40FA" w:rsidRDefault="00FC4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23D" w14:textId="77777777" w:rsidR="0085195D" w:rsidRDefault="0085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51B8696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779A0"/>
    <w:multiLevelType w:val="hybridMultilevel"/>
    <w:tmpl w:val="6736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8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1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2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6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4"/>
  </w:num>
  <w:num w:numId="2" w16cid:durableId="1435705712">
    <w:abstractNumId w:val="32"/>
  </w:num>
  <w:num w:numId="3" w16cid:durableId="879434669">
    <w:abstractNumId w:val="29"/>
  </w:num>
  <w:num w:numId="4" w16cid:durableId="537620543">
    <w:abstractNumId w:val="11"/>
  </w:num>
  <w:num w:numId="5" w16cid:durableId="768087668">
    <w:abstractNumId w:val="37"/>
  </w:num>
  <w:num w:numId="6" w16cid:durableId="1587301427">
    <w:abstractNumId w:val="13"/>
  </w:num>
  <w:num w:numId="7" w16cid:durableId="1996763630">
    <w:abstractNumId w:val="0"/>
  </w:num>
  <w:num w:numId="8" w16cid:durableId="321586523">
    <w:abstractNumId w:val="28"/>
  </w:num>
  <w:num w:numId="9" w16cid:durableId="1742408672">
    <w:abstractNumId w:val="17"/>
  </w:num>
  <w:num w:numId="10" w16cid:durableId="443889276">
    <w:abstractNumId w:val="4"/>
  </w:num>
  <w:num w:numId="11" w16cid:durableId="1460076955">
    <w:abstractNumId w:val="25"/>
  </w:num>
  <w:num w:numId="12" w16cid:durableId="605188748">
    <w:abstractNumId w:val="7"/>
  </w:num>
  <w:num w:numId="13" w16cid:durableId="1528517899">
    <w:abstractNumId w:val="23"/>
  </w:num>
  <w:num w:numId="14" w16cid:durableId="1598514742">
    <w:abstractNumId w:val="9"/>
  </w:num>
  <w:num w:numId="15" w16cid:durableId="2116945244">
    <w:abstractNumId w:val="1"/>
  </w:num>
  <w:num w:numId="16" w16cid:durableId="229579954">
    <w:abstractNumId w:val="22"/>
  </w:num>
  <w:num w:numId="17" w16cid:durableId="1927305721">
    <w:abstractNumId w:val="1"/>
  </w:num>
  <w:num w:numId="18" w16cid:durableId="190992867">
    <w:abstractNumId w:val="10"/>
  </w:num>
  <w:num w:numId="19" w16cid:durableId="423771677">
    <w:abstractNumId w:val="30"/>
  </w:num>
  <w:num w:numId="20" w16cid:durableId="1164012689">
    <w:abstractNumId w:val="18"/>
  </w:num>
  <w:num w:numId="21" w16cid:durableId="929705062">
    <w:abstractNumId w:val="21"/>
  </w:num>
  <w:num w:numId="22" w16cid:durableId="656344671">
    <w:abstractNumId w:val="19"/>
  </w:num>
  <w:num w:numId="23" w16cid:durableId="379330098">
    <w:abstractNumId w:val="8"/>
  </w:num>
  <w:num w:numId="24" w16cid:durableId="1800995325">
    <w:abstractNumId w:val="30"/>
  </w:num>
  <w:num w:numId="25" w16cid:durableId="1093673093">
    <w:abstractNumId w:val="10"/>
  </w:num>
  <w:num w:numId="26" w16cid:durableId="1271275662">
    <w:abstractNumId w:val="34"/>
  </w:num>
  <w:num w:numId="27" w16cid:durableId="1466584764">
    <w:abstractNumId w:val="20"/>
  </w:num>
  <w:num w:numId="28" w16cid:durableId="59715611">
    <w:abstractNumId w:val="16"/>
  </w:num>
  <w:num w:numId="29" w16cid:durableId="224418266">
    <w:abstractNumId w:val="24"/>
  </w:num>
  <w:num w:numId="30" w16cid:durableId="1838618516">
    <w:abstractNumId w:val="12"/>
  </w:num>
  <w:num w:numId="31" w16cid:durableId="1100101680">
    <w:abstractNumId w:val="3"/>
  </w:num>
  <w:num w:numId="32" w16cid:durableId="1237593043">
    <w:abstractNumId w:val="6"/>
  </w:num>
  <w:num w:numId="33" w16cid:durableId="2078625265">
    <w:abstractNumId w:val="33"/>
  </w:num>
  <w:num w:numId="34" w16cid:durableId="682588423">
    <w:abstractNumId w:val="27"/>
  </w:num>
  <w:num w:numId="35" w16cid:durableId="347757146">
    <w:abstractNumId w:val="2"/>
  </w:num>
  <w:num w:numId="36" w16cid:durableId="1499610712">
    <w:abstractNumId w:val="35"/>
  </w:num>
  <w:num w:numId="37" w16cid:durableId="795483855">
    <w:abstractNumId w:val="31"/>
  </w:num>
  <w:num w:numId="38" w16cid:durableId="11584207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6"/>
  </w:num>
  <w:num w:numId="40" w16cid:durableId="977881796">
    <w:abstractNumId w:val="36"/>
  </w:num>
  <w:num w:numId="41" w16cid:durableId="3284082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246D6"/>
    <w:rsid w:val="00032995"/>
    <w:rsid w:val="00033F2E"/>
    <w:rsid w:val="000363E5"/>
    <w:rsid w:val="0003693F"/>
    <w:rsid w:val="0004248A"/>
    <w:rsid w:val="00050C44"/>
    <w:rsid w:val="00050CBA"/>
    <w:rsid w:val="00051D45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1223"/>
    <w:rsid w:val="000B128F"/>
    <w:rsid w:val="000B3164"/>
    <w:rsid w:val="000B363E"/>
    <w:rsid w:val="000B44D2"/>
    <w:rsid w:val="000B6902"/>
    <w:rsid w:val="000B71A6"/>
    <w:rsid w:val="000C2592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46B7B"/>
    <w:rsid w:val="00250210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A73"/>
    <w:rsid w:val="002C1282"/>
    <w:rsid w:val="002C1686"/>
    <w:rsid w:val="002C1836"/>
    <w:rsid w:val="002C3759"/>
    <w:rsid w:val="002C44CE"/>
    <w:rsid w:val="002C45F0"/>
    <w:rsid w:val="002C6CE6"/>
    <w:rsid w:val="002C74CB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E5DEE"/>
    <w:rsid w:val="002F123F"/>
    <w:rsid w:val="002F1CED"/>
    <w:rsid w:val="002F26CA"/>
    <w:rsid w:val="002F29F6"/>
    <w:rsid w:val="002F38A1"/>
    <w:rsid w:val="002F6A1B"/>
    <w:rsid w:val="00305C0B"/>
    <w:rsid w:val="00306D33"/>
    <w:rsid w:val="00306F0A"/>
    <w:rsid w:val="0031089D"/>
    <w:rsid w:val="003123F8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0BBF"/>
    <w:rsid w:val="00436028"/>
    <w:rsid w:val="00440911"/>
    <w:rsid w:val="00441562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5AB1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C5A0C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218A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44EC"/>
    <w:rsid w:val="008D52C6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3024"/>
    <w:rsid w:val="00AA3C87"/>
    <w:rsid w:val="00AA7A60"/>
    <w:rsid w:val="00AB326E"/>
    <w:rsid w:val="00AB741E"/>
    <w:rsid w:val="00AB7747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256"/>
    <w:rsid w:val="00B21C1F"/>
    <w:rsid w:val="00B2416A"/>
    <w:rsid w:val="00B246A0"/>
    <w:rsid w:val="00B268F7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7EDA"/>
    <w:rsid w:val="00DA002E"/>
    <w:rsid w:val="00DA0C40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D24"/>
    <w:rsid w:val="00DF0817"/>
    <w:rsid w:val="00DF0FDF"/>
    <w:rsid w:val="00DF4C83"/>
    <w:rsid w:val="00E014AC"/>
    <w:rsid w:val="00E02B87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51CE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news.goodyear.eu/pl-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playlist?list=PLg86aMePcfYhAgOAwZBU9r4e5_jBPkpgC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6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4</cp:revision>
  <cp:lastPrinted>2023-07-12T06:21:00Z</cp:lastPrinted>
  <dcterms:created xsi:type="dcterms:W3CDTF">2023-08-28T06:08:00Z</dcterms:created>
  <dcterms:modified xsi:type="dcterms:W3CDTF">2023-08-28T06:13:00Z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